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4BBAD">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湘潭新闻奖参评作品推荐表</w:t>
      </w:r>
    </w:p>
    <w:tbl>
      <w:tblPr>
        <w:tblStyle w:val="4"/>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1006"/>
        <w:gridCol w:w="1302"/>
        <w:gridCol w:w="278"/>
        <w:gridCol w:w="577"/>
        <w:gridCol w:w="560"/>
        <w:gridCol w:w="796"/>
        <w:gridCol w:w="3591"/>
      </w:tblGrid>
      <w:tr w14:paraId="280C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821" w:type="dxa"/>
            <w:vMerge w:val="restart"/>
            <w:tcBorders>
              <w:top w:val="single" w:color="auto" w:sz="4" w:space="0"/>
              <w:left w:val="single" w:color="auto" w:sz="4" w:space="0"/>
              <w:bottom w:val="single" w:color="auto" w:sz="4" w:space="0"/>
              <w:right w:val="single" w:color="auto" w:sz="4" w:space="0"/>
            </w:tcBorders>
            <w:noWrap/>
            <w:vAlign w:val="center"/>
          </w:tcPr>
          <w:p w14:paraId="70D98865">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作品标题</w:t>
            </w:r>
          </w:p>
        </w:tc>
        <w:tc>
          <w:tcPr>
            <w:tcW w:w="3163" w:type="dxa"/>
            <w:gridSpan w:val="4"/>
            <w:vMerge w:val="restart"/>
            <w:tcBorders>
              <w:top w:val="single" w:color="auto" w:sz="4" w:space="0"/>
              <w:left w:val="single" w:color="auto" w:sz="4" w:space="0"/>
              <w:bottom w:val="single" w:color="auto" w:sz="4" w:space="0"/>
              <w:right w:val="single" w:color="auto" w:sz="4" w:space="0"/>
            </w:tcBorders>
            <w:noWrap/>
            <w:vAlign w:val="center"/>
          </w:tcPr>
          <w:p w14:paraId="18CFB327">
            <w:pPr>
              <w:spacing w:line="260" w:lineRule="exact"/>
              <w:jc w:val="center"/>
              <w:rPr>
                <w:rFonts w:ascii="华文中宋" w:hAnsi="华文中宋" w:eastAsia="华文中宋"/>
                <w:color w:val="000000"/>
                <w:sz w:val="28"/>
                <w:szCs w:val="28"/>
              </w:rPr>
            </w:pPr>
            <w:r>
              <w:rPr>
                <w:rFonts w:hint="eastAsia" w:ascii="仿宋_GB2312" w:eastAsia="仿宋_GB2312" w:cs="仿宋_GB2312"/>
                <w:color w:val="000000"/>
                <w:szCs w:val="21"/>
              </w:rPr>
              <w:t>《加强巡查 党员冲锋在前 杨林乡云源村成功排查一处隐患 转移一家三口 被转移群众：多亏了他们》</w:t>
            </w:r>
          </w:p>
        </w:tc>
        <w:tc>
          <w:tcPr>
            <w:tcW w:w="1356" w:type="dxa"/>
            <w:gridSpan w:val="2"/>
            <w:tcBorders>
              <w:top w:val="single" w:color="auto" w:sz="4" w:space="0"/>
              <w:left w:val="single" w:color="auto" w:sz="4" w:space="0"/>
              <w:bottom w:val="single" w:color="auto" w:sz="4" w:space="0"/>
              <w:right w:val="single" w:color="auto" w:sz="4" w:space="0"/>
            </w:tcBorders>
            <w:noWrap/>
            <w:vAlign w:val="center"/>
          </w:tcPr>
          <w:p w14:paraId="67C0E030">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参评项目</w:t>
            </w:r>
          </w:p>
        </w:tc>
        <w:tc>
          <w:tcPr>
            <w:tcW w:w="3591" w:type="dxa"/>
            <w:tcBorders>
              <w:top w:val="single" w:color="auto" w:sz="4" w:space="0"/>
              <w:left w:val="single" w:color="auto" w:sz="4" w:space="0"/>
              <w:bottom w:val="single" w:color="auto" w:sz="4" w:space="0"/>
              <w:right w:val="single" w:color="auto" w:sz="4" w:space="0"/>
            </w:tcBorders>
            <w:noWrap/>
            <w:vAlign w:val="center"/>
          </w:tcPr>
          <w:p w14:paraId="213D6C0E">
            <w:pPr>
              <w:spacing w:line="260" w:lineRule="exact"/>
              <w:jc w:val="center"/>
              <w:rPr>
                <w:rFonts w:ascii="仿宋" w:hAnsi="仿宋" w:eastAsia="仿宋" w:cs="仿宋"/>
                <w:color w:val="000000"/>
                <w:sz w:val="24"/>
              </w:rPr>
            </w:pPr>
            <w:r>
              <w:rPr>
                <w:rFonts w:hint="eastAsia" w:ascii="仿宋_GB2312" w:eastAsia="仿宋_GB2312" w:cs="仿宋_GB2312"/>
                <w:color w:val="000000"/>
                <w:szCs w:val="21"/>
              </w:rPr>
              <w:t>消息</w:t>
            </w:r>
          </w:p>
        </w:tc>
      </w:tr>
      <w:tr w14:paraId="2F98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821" w:type="dxa"/>
            <w:vMerge w:val="continue"/>
            <w:tcBorders>
              <w:top w:val="single" w:color="auto" w:sz="4" w:space="0"/>
              <w:left w:val="single" w:color="auto" w:sz="4" w:space="0"/>
              <w:bottom w:val="single" w:color="auto" w:sz="4" w:space="0"/>
              <w:right w:val="single" w:color="auto" w:sz="4" w:space="0"/>
            </w:tcBorders>
            <w:noWrap/>
            <w:vAlign w:val="center"/>
          </w:tcPr>
          <w:p w14:paraId="0FC7CCF5">
            <w:pPr>
              <w:jc w:val="center"/>
              <w:rPr>
                <w:sz w:val="20"/>
                <w:szCs w:val="20"/>
              </w:rPr>
            </w:pPr>
          </w:p>
        </w:tc>
        <w:tc>
          <w:tcPr>
            <w:tcW w:w="3163" w:type="dxa"/>
            <w:gridSpan w:val="4"/>
            <w:vMerge w:val="continue"/>
            <w:tcBorders>
              <w:top w:val="single" w:color="auto" w:sz="4" w:space="0"/>
              <w:left w:val="single" w:color="auto" w:sz="4" w:space="0"/>
              <w:bottom w:val="single" w:color="auto" w:sz="4" w:space="0"/>
              <w:right w:val="single" w:color="auto" w:sz="4" w:space="0"/>
            </w:tcBorders>
            <w:noWrap/>
            <w:vAlign w:val="center"/>
          </w:tcPr>
          <w:p w14:paraId="4714A3BE">
            <w:pPr>
              <w:jc w:val="center"/>
              <w:rPr>
                <w:sz w:val="20"/>
                <w:szCs w:val="20"/>
              </w:rPr>
            </w:pPr>
          </w:p>
        </w:tc>
        <w:tc>
          <w:tcPr>
            <w:tcW w:w="1356" w:type="dxa"/>
            <w:gridSpan w:val="2"/>
            <w:tcBorders>
              <w:top w:val="single" w:color="auto" w:sz="4" w:space="0"/>
              <w:left w:val="single" w:color="auto" w:sz="4" w:space="0"/>
              <w:bottom w:val="single" w:color="auto" w:sz="4" w:space="0"/>
              <w:right w:val="single" w:color="auto" w:sz="4" w:space="0"/>
            </w:tcBorders>
            <w:noWrap/>
            <w:vAlign w:val="center"/>
          </w:tcPr>
          <w:p w14:paraId="56F33D46">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体裁</w:t>
            </w:r>
          </w:p>
        </w:tc>
        <w:tc>
          <w:tcPr>
            <w:tcW w:w="3591" w:type="dxa"/>
            <w:tcBorders>
              <w:top w:val="single" w:color="auto" w:sz="4" w:space="0"/>
              <w:left w:val="single" w:color="auto" w:sz="4" w:space="0"/>
              <w:bottom w:val="single" w:color="auto" w:sz="4" w:space="0"/>
              <w:right w:val="single" w:color="auto" w:sz="4" w:space="0"/>
            </w:tcBorders>
            <w:noWrap/>
            <w:vAlign w:val="center"/>
          </w:tcPr>
          <w:p w14:paraId="723BBF4E">
            <w:pPr>
              <w:spacing w:line="260" w:lineRule="exact"/>
              <w:jc w:val="center"/>
              <w:rPr>
                <w:rFonts w:ascii="仿宋_GB2312" w:hAnsi="仿宋" w:eastAsia="仿宋_GB2312"/>
                <w:color w:val="000000"/>
                <w:sz w:val="28"/>
                <w:szCs w:val="28"/>
              </w:rPr>
            </w:pPr>
            <w:r>
              <w:rPr>
                <w:rFonts w:hint="eastAsia" w:ascii="仿宋_GB2312" w:eastAsia="仿宋_GB2312" w:cs="仿宋_GB2312"/>
                <w:color w:val="000000"/>
                <w:szCs w:val="21"/>
              </w:rPr>
              <w:t>新媒体消息</w:t>
            </w:r>
          </w:p>
        </w:tc>
      </w:tr>
      <w:tr w14:paraId="4EC0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821" w:type="dxa"/>
            <w:vMerge w:val="continue"/>
            <w:tcBorders>
              <w:top w:val="single" w:color="auto" w:sz="4" w:space="0"/>
              <w:left w:val="single" w:color="auto" w:sz="4" w:space="0"/>
              <w:bottom w:val="single" w:color="auto" w:sz="4" w:space="0"/>
              <w:right w:val="single" w:color="auto" w:sz="4" w:space="0"/>
            </w:tcBorders>
            <w:noWrap/>
            <w:vAlign w:val="center"/>
          </w:tcPr>
          <w:p w14:paraId="506E53BA">
            <w:pPr>
              <w:jc w:val="center"/>
              <w:rPr>
                <w:sz w:val="20"/>
                <w:szCs w:val="20"/>
              </w:rPr>
            </w:pPr>
          </w:p>
        </w:tc>
        <w:tc>
          <w:tcPr>
            <w:tcW w:w="3163" w:type="dxa"/>
            <w:gridSpan w:val="4"/>
            <w:vMerge w:val="continue"/>
            <w:tcBorders>
              <w:top w:val="single" w:color="auto" w:sz="4" w:space="0"/>
              <w:left w:val="single" w:color="auto" w:sz="4" w:space="0"/>
              <w:bottom w:val="single" w:color="auto" w:sz="4" w:space="0"/>
              <w:right w:val="single" w:color="auto" w:sz="4" w:space="0"/>
            </w:tcBorders>
            <w:noWrap/>
            <w:vAlign w:val="center"/>
          </w:tcPr>
          <w:p w14:paraId="2C428BE5">
            <w:pPr>
              <w:jc w:val="center"/>
              <w:rPr>
                <w:sz w:val="20"/>
                <w:szCs w:val="20"/>
              </w:rPr>
            </w:pPr>
          </w:p>
        </w:tc>
        <w:tc>
          <w:tcPr>
            <w:tcW w:w="1356" w:type="dxa"/>
            <w:gridSpan w:val="2"/>
            <w:tcBorders>
              <w:top w:val="single" w:color="auto" w:sz="4" w:space="0"/>
              <w:left w:val="single" w:color="auto" w:sz="4" w:space="0"/>
              <w:bottom w:val="single" w:color="auto" w:sz="4" w:space="0"/>
              <w:right w:val="single" w:color="auto" w:sz="4" w:space="0"/>
            </w:tcBorders>
            <w:noWrap/>
            <w:vAlign w:val="center"/>
          </w:tcPr>
          <w:p w14:paraId="5E4F9F9E">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语种</w:t>
            </w:r>
          </w:p>
        </w:tc>
        <w:tc>
          <w:tcPr>
            <w:tcW w:w="3591" w:type="dxa"/>
            <w:tcBorders>
              <w:top w:val="single" w:color="auto" w:sz="4" w:space="0"/>
              <w:left w:val="single" w:color="auto" w:sz="4" w:space="0"/>
              <w:bottom w:val="single" w:color="auto" w:sz="4" w:space="0"/>
              <w:right w:val="single" w:color="auto" w:sz="4" w:space="0"/>
            </w:tcBorders>
            <w:noWrap/>
            <w:vAlign w:val="center"/>
          </w:tcPr>
          <w:p w14:paraId="2A7F9152">
            <w:pPr>
              <w:spacing w:line="240" w:lineRule="atLeast"/>
              <w:jc w:val="center"/>
              <w:rPr>
                <w:rFonts w:ascii="仿宋_GB2312" w:eastAsia="仿宋_GB2312"/>
                <w:color w:val="000000"/>
                <w:sz w:val="28"/>
                <w:szCs w:val="28"/>
              </w:rPr>
            </w:pPr>
            <w:r>
              <w:rPr>
                <w:rFonts w:hint="eastAsia" w:ascii="仿宋_GB2312" w:eastAsia="仿宋_GB2312" w:cs="仿宋_GB2312"/>
                <w:color w:val="000000"/>
                <w:szCs w:val="21"/>
              </w:rPr>
              <w:t>中文</w:t>
            </w:r>
          </w:p>
        </w:tc>
      </w:tr>
      <w:tr w14:paraId="22B9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821" w:type="dxa"/>
            <w:tcBorders>
              <w:top w:val="single" w:color="auto" w:sz="4" w:space="0"/>
              <w:left w:val="single" w:color="auto" w:sz="4" w:space="0"/>
              <w:bottom w:val="single" w:color="auto" w:sz="4" w:space="0"/>
              <w:right w:val="single" w:color="auto" w:sz="4" w:space="0"/>
            </w:tcBorders>
            <w:noWrap/>
            <w:vAlign w:val="center"/>
          </w:tcPr>
          <w:p w14:paraId="7F02F963">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 者</w:t>
            </w:r>
          </w:p>
          <w:p w14:paraId="0F292BCE">
            <w:pPr>
              <w:spacing w:line="320" w:lineRule="exact"/>
              <w:jc w:val="center"/>
              <w:rPr>
                <w:rFonts w:ascii="华文中宋" w:hAnsi="华文中宋" w:eastAsia="华文中宋"/>
                <w:color w:val="000000"/>
                <w:sz w:val="24"/>
              </w:rPr>
            </w:pPr>
            <w:r>
              <w:rPr>
                <w:rFonts w:hint="eastAsia" w:ascii="华文中宋" w:hAnsi="华文中宋" w:eastAsia="华文中宋" w:cs="华文中宋"/>
                <w:color w:val="000000"/>
                <w:sz w:val="24"/>
              </w:rPr>
              <w:t>（主创人员）</w:t>
            </w:r>
          </w:p>
        </w:tc>
        <w:tc>
          <w:tcPr>
            <w:tcW w:w="2308" w:type="dxa"/>
            <w:gridSpan w:val="2"/>
            <w:tcBorders>
              <w:top w:val="single" w:color="auto" w:sz="4" w:space="0"/>
              <w:left w:val="single" w:color="auto" w:sz="4" w:space="0"/>
              <w:bottom w:val="single" w:color="auto" w:sz="4" w:space="0"/>
              <w:right w:val="single" w:color="auto" w:sz="4" w:space="0"/>
            </w:tcBorders>
            <w:noWrap/>
            <w:vAlign w:val="center"/>
          </w:tcPr>
          <w:p w14:paraId="15A98318">
            <w:pPr>
              <w:spacing w:line="260" w:lineRule="exact"/>
              <w:jc w:val="center"/>
              <w:rPr>
                <w:rFonts w:ascii="仿宋_GB2312" w:hAnsi="华文中宋" w:eastAsia="仿宋_GB2312"/>
                <w:color w:val="000000"/>
                <w:sz w:val="28"/>
                <w:szCs w:val="28"/>
              </w:rPr>
            </w:pPr>
            <w:r>
              <w:rPr>
                <w:rFonts w:hint="eastAsia" w:ascii="仿宋_GB2312" w:eastAsia="仿宋_GB2312" w:cs="仿宋_GB2312"/>
                <w:color w:val="000000"/>
                <w:szCs w:val="21"/>
              </w:rPr>
              <w:t>杨扬</w:t>
            </w:r>
          </w:p>
        </w:tc>
        <w:tc>
          <w:tcPr>
            <w:tcW w:w="855" w:type="dxa"/>
            <w:gridSpan w:val="2"/>
            <w:tcBorders>
              <w:top w:val="single" w:color="auto" w:sz="4" w:space="0"/>
              <w:left w:val="single" w:color="auto" w:sz="4" w:space="0"/>
              <w:bottom w:val="single" w:color="auto" w:sz="4" w:space="0"/>
              <w:right w:val="single" w:color="auto" w:sz="4" w:space="0"/>
            </w:tcBorders>
            <w:noWrap/>
            <w:vAlign w:val="center"/>
          </w:tcPr>
          <w:p w14:paraId="5C87A58C">
            <w:pPr>
              <w:spacing w:line="360" w:lineRule="auto"/>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编辑</w:t>
            </w:r>
          </w:p>
        </w:tc>
        <w:tc>
          <w:tcPr>
            <w:tcW w:w="4947" w:type="dxa"/>
            <w:gridSpan w:val="3"/>
            <w:tcBorders>
              <w:top w:val="single" w:color="auto" w:sz="4" w:space="0"/>
              <w:left w:val="single" w:color="auto" w:sz="4" w:space="0"/>
              <w:bottom w:val="single" w:color="auto" w:sz="4" w:space="0"/>
              <w:right w:val="single" w:color="auto" w:sz="4" w:space="0"/>
            </w:tcBorders>
            <w:noWrap/>
            <w:vAlign w:val="center"/>
          </w:tcPr>
          <w:p w14:paraId="7E061B19">
            <w:pPr>
              <w:spacing w:line="240" w:lineRule="exact"/>
              <w:jc w:val="center"/>
              <w:rPr>
                <w:rFonts w:ascii="仿宋" w:hAnsi="仿宋" w:eastAsia="仿宋"/>
                <w:color w:val="000000"/>
                <w:sz w:val="24"/>
              </w:rPr>
            </w:pPr>
            <w:r>
              <w:rPr>
                <w:rFonts w:hint="eastAsia" w:ascii="仿宋_GB2312" w:eastAsia="仿宋_GB2312" w:cs="仿宋_GB2312"/>
                <w:color w:val="000000"/>
                <w:szCs w:val="21"/>
              </w:rPr>
              <w:t>李霓 朱俊文 张继军</w:t>
            </w:r>
          </w:p>
        </w:tc>
      </w:tr>
      <w:tr w14:paraId="054C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821" w:type="dxa"/>
            <w:tcBorders>
              <w:top w:val="single" w:color="auto" w:sz="4" w:space="0"/>
              <w:left w:val="single" w:color="auto" w:sz="4" w:space="0"/>
              <w:bottom w:val="single" w:color="auto" w:sz="4" w:space="0"/>
              <w:right w:val="single" w:color="auto" w:sz="4" w:space="0"/>
            </w:tcBorders>
            <w:noWrap/>
            <w:vAlign w:val="center"/>
          </w:tcPr>
          <w:p w14:paraId="01CE43F8">
            <w:pPr>
              <w:spacing w:line="360" w:lineRule="auto"/>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原创单位</w:t>
            </w:r>
          </w:p>
        </w:tc>
        <w:tc>
          <w:tcPr>
            <w:tcW w:w="2308" w:type="dxa"/>
            <w:gridSpan w:val="2"/>
            <w:tcBorders>
              <w:top w:val="single" w:color="auto" w:sz="4" w:space="0"/>
              <w:left w:val="single" w:color="auto" w:sz="4" w:space="0"/>
              <w:bottom w:val="single" w:color="auto" w:sz="4" w:space="0"/>
              <w:right w:val="single" w:color="auto" w:sz="4" w:space="0"/>
            </w:tcBorders>
            <w:noWrap/>
            <w:vAlign w:val="center"/>
          </w:tcPr>
          <w:p w14:paraId="1BA08BB3">
            <w:pPr>
              <w:spacing w:line="260" w:lineRule="exact"/>
              <w:jc w:val="center"/>
              <w:rPr>
                <w:rFonts w:ascii="仿宋_GB2312" w:hAnsi="仿宋" w:eastAsia="仿宋_GB2312"/>
                <w:color w:val="000000"/>
                <w:szCs w:val="21"/>
              </w:rPr>
            </w:pPr>
            <w:r>
              <w:rPr>
                <w:rFonts w:hint="eastAsia" w:ascii="仿宋_GB2312" w:eastAsia="仿宋_GB2312" w:cs="仿宋_GB2312"/>
                <w:color w:val="000000"/>
                <w:szCs w:val="21"/>
              </w:rPr>
              <w:t>韶山市融媒体中心</w:t>
            </w:r>
          </w:p>
        </w:tc>
        <w:tc>
          <w:tcPr>
            <w:tcW w:w="855" w:type="dxa"/>
            <w:gridSpan w:val="2"/>
            <w:tcBorders>
              <w:top w:val="single" w:color="auto" w:sz="4" w:space="0"/>
              <w:left w:val="single" w:color="auto" w:sz="4" w:space="0"/>
              <w:bottom w:val="single" w:color="auto" w:sz="4" w:space="0"/>
              <w:right w:val="single" w:color="auto" w:sz="4" w:space="0"/>
            </w:tcBorders>
            <w:noWrap/>
            <w:vAlign w:val="center"/>
          </w:tcPr>
          <w:p w14:paraId="5624724A">
            <w:pPr>
              <w:spacing w:line="40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刊播单位</w:t>
            </w:r>
          </w:p>
        </w:tc>
        <w:tc>
          <w:tcPr>
            <w:tcW w:w="4947" w:type="dxa"/>
            <w:gridSpan w:val="3"/>
            <w:tcBorders>
              <w:top w:val="single" w:color="auto" w:sz="4" w:space="0"/>
              <w:left w:val="single" w:color="auto" w:sz="4" w:space="0"/>
              <w:bottom w:val="single" w:color="auto" w:sz="4" w:space="0"/>
              <w:right w:val="single" w:color="auto" w:sz="4" w:space="0"/>
            </w:tcBorders>
            <w:noWrap/>
            <w:vAlign w:val="center"/>
          </w:tcPr>
          <w:p w14:paraId="28F34522">
            <w:pPr>
              <w:spacing w:line="320" w:lineRule="exact"/>
              <w:jc w:val="center"/>
              <w:rPr>
                <w:rFonts w:ascii="仿宋_GB2312" w:eastAsia="仿宋_GB2312" w:cs="仿宋_GB2312"/>
                <w:color w:val="000000"/>
                <w:szCs w:val="21"/>
              </w:rPr>
            </w:pPr>
            <w:r>
              <w:rPr>
                <w:rFonts w:hint="eastAsia" w:ascii="仿宋_GB2312" w:eastAsia="仿宋_GB2312" w:cs="仿宋_GB2312"/>
                <w:color w:val="000000"/>
                <w:szCs w:val="21"/>
              </w:rPr>
              <w:t>韶山市融媒体中心</w:t>
            </w:r>
          </w:p>
        </w:tc>
      </w:tr>
      <w:tr w14:paraId="4C77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821" w:type="dxa"/>
            <w:tcBorders>
              <w:top w:val="single" w:color="auto" w:sz="4" w:space="0"/>
              <w:left w:val="single" w:color="auto" w:sz="4" w:space="0"/>
              <w:bottom w:val="single" w:color="auto" w:sz="4" w:space="0"/>
              <w:right w:val="single" w:color="auto" w:sz="4" w:space="0"/>
            </w:tcBorders>
            <w:noWrap/>
            <w:vAlign w:val="center"/>
          </w:tcPr>
          <w:p w14:paraId="53A5EBE5">
            <w:pPr>
              <w:spacing w:line="44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刊播版面(</w:t>
            </w:r>
            <w:r>
              <w:rPr>
                <w:rFonts w:hint="eastAsia" w:ascii="华文中宋" w:hAnsi="华文中宋" w:eastAsia="华文中宋" w:cs="华文中宋"/>
                <w:color w:val="000000"/>
                <w:sz w:val="24"/>
              </w:rPr>
              <w:t>名称和版次)</w:t>
            </w:r>
          </w:p>
        </w:tc>
        <w:tc>
          <w:tcPr>
            <w:tcW w:w="2308" w:type="dxa"/>
            <w:gridSpan w:val="2"/>
            <w:tcBorders>
              <w:top w:val="single" w:color="auto" w:sz="4" w:space="0"/>
              <w:left w:val="single" w:color="auto" w:sz="4" w:space="0"/>
              <w:bottom w:val="single" w:color="auto" w:sz="4" w:space="0"/>
              <w:right w:val="single" w:color="auto" w:sz="4" w:space="0"/>
            </w:tcBorders>
            <w:noWrap/>
            <w:vAlign w:val="center"/>
          </w:tcPr>
          <w:p w14:paraId="034AB5B4">
            <w:pPr>
              <w:spacing w:line="220" w:lineRule="exact"/>
              <w:jc w:val="center"/>
              <w:rPr>
                <w:rFonts w:ascii="仿宋_GB2312" w:hAnsi="仿宋" w:eastAsia="仿宋_GB2312"/>
                <w:color w:val="000000"/>
                <w:szCs w:val="21"/>
              </w:rPr>
            </w:pPr>
            <w:r>
              <w:rPr>
                <w:rFonts w:hint="eastAsia" w:ascii="仿宋_GB2312" w:hAnsi="仿宋" w:eastAsia="仿宋_GB2312" w:cs="仿宋_GB2312"/>
                <w:color w:val="000000"/>
                <w:szCs w:val="21"/>
              </w:rPr>
              <w:t>韶山融媒视频号</w:t>
            </w:r>
          </w:p>
        </w:tc>
        <w:tc>
          <w:tcPr>
            <w:tcW w:w="855" w:type="dxa"/>
            <w:gridSpan w:val="2"/>
            <w:tcBorders>
              <w:top w:val="single" w:color="auto" w:sz="4" w:space="0"/>
              <w:left w:val="single" w:color="auto" w:sz="4" w:space="0"/>
              <w:bottom w:val="single" w:color="auto" w:sz="4" w:space="0"/>
              <w:right w:val="single" w:color="auto" w:sz="4" w:space="0"/>
            </w:tcBorders>
            <w:noWrap/>
            <w:vAlign w:val="center"/>
          </w:tcPr>
          <w:p w14:paraId="60680B7E">
            <w:pPr>
              <w:spacing w:line="40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刊播日期</w:t>
            </w:r>
          </w:p>
        </w:tc>
        <w:tc>
          <w:tcPr>
            <w:tcW w:w="4947" w:type="dxa"/>
            <w:gridSpan w:val="3"/>
            <w:tcBorders>
              <w:top w:val="single" w:color="auto" w:sz="4" w:space="0"/>
              <w:left w:val="single" w:color="auto" w:sz="4" w:space="0"/>
              <w:bottom w:val="single" w:color="auto" w:sz="4" w:space="0"/>
              <w:right w:val="single" w:color="auto" w:sz="4" w:space="0"/>
            </w:tcBorders>
            <w:noWrap/>
            <w:vAlign w:val="center"/>
          </w:tcPr>
          <w:p w14:paraId="7E2915D5">
            <w:pPr>
              <w:spacing w:line="260" w:lineRule="exact"/>
              <w:jc w:val="center"/>
              <w:rPr>
                <w:rFonts w:ascii="仿宋_GB2312" w:hAnsi="仿宋" w:eastAsia="仿宋_GB2312"/>
                <w:color w:val="000000"/>
                <w:sz w:val="24"/>
              </w:rPr>
            </w:pPr>
            <w:r>
              <w:rPr>
                <w:rFonts w:hint="eastAsia" w:ascii="仿宋_GB2312" w:eastAsia="仿宋_GB2312" w:cs="仿宋_GB2312"/>
                <w:color w:val="000000"/>
                <w:szCs w:val="21"/>
              </w:rPr>
              <w:t>2024年6月27日</w:t>
            </w:r>
          </w:p>
        </w:tc>
      </w:tr>
      <w:tr w14:paraId="5F37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27" w:type="dxa"/>
            <w:gridSpan w:val="2"/>
            <w:tcBorders>
              <w:top w:val="single" w:color="auto" w:sz="4" w:space="0"/>
              <w:left w:val="single" w:color="auto" w:sz="4" w:space="0"/>
              <w:bottom w:val="single" w:color="auto" w:sz="4" w:space="0"/>
              <w:right w:val="single" w:color="auto" w:sz="4" w:space="0"/>
            </w:tcBorders>
            <w:noWrap/>
            <w:vAlign w:val="center"/>
          </w:tcPr>
          <w:p w14:paraId="18274A59">
            <w:pPr>
              <w:spacing w:line="320" w:lineRule="exact"/>
              <w:jc w:val="center"/>
              <w:rPr>
                <w:rFonts w:ascii="仿宋" w:hAnsi="仿宋" w:eastAsia="仿宋"/>
                <w:color w:val="000000"/>
                <w:sz w:val="24"/>
              </w:rPr>
            </w:pPr>
            <w:r>
              <w:rPr>
                <w:rFonts w:hint="eastAsia" w:ascii="华文中宋" w:hAnsi="华文中宋" w:eastAsia="华文中宋" w:cs="华文中宋"/>
                <w:color w:val="000000"/>
                <w:sz w:val="28"/>
                <w:szCs w:val="28"/>
              </w:rPr>
              <w:t>新媒体作品填报网址</w:t>
            </w:r>
          </w:p>
        </w:tc>
        <w:tc>
          <w:tcPr>
            <w:tcW w:w="7104" w:type="dxa"/>
            <w:gridSpan w:val="6"/>
            <w:tcBorders>
              <w:top w:val="single" w:color="auto" w:sz="4" w:space="0"/>
              <w:left w:val="single" w:color="auto" w:sz="4" w:space="0"/>
              <w:bottom w:val="single" w:color="auto" w:sz="4" w:space="0"/>
              <w:right w:val="single" w:color="auto" w:sz="4" w:space="0"/>
            </w:tcBorders>
            <w:noWrap/>
            <w:vAlign w:val="center"/>
          </w:tcPr>
          <w:p w14:paraId="24C24951">
            <w:pPr>
              <w:spacing w:line="320" w:lineRule="exact"/>
              <w:jc w:val="center"/>
              <w:rPr>
                <w:rFonts w:ascii="仿宋" w:hAnsi="仿宋" w:eastAsia="仿宋"/>
                <w:color w:val="000000"/>
                <w:sz w:val="24"/>
              </w:rPr>
            </w:pPr>
            <w:r>
              <w:rPr>
                <w:rFonts w:hint="eastAsia" w:ascii="仿宋" w:hAnsi="仿宋" w:eastAsia="仿宋"/>
                <w:color w:val="000000"/>
                <w:sz w:val="24"/>
              </w:rPr>
              <w:t>https://weixin.qq.com/sph/APJxOqvf1</w:t>
            </w:r>
            <w:bookmarkStart w:id="0" w:name="_GoBack"/>
            <w:bookmarkEnd w:id="0"/>
          </w:p>
        </w:tc>
      </w:tr>
      <w:tr w14:paraId="526C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0" w:hRule="atLeast"/>
          <w:jc w:val="center"/>
        </w:trPr>
        <w:tc>
          <w:tcPr>
            <w:tcW w:w="1821" w:type="dxa"/>
            <w:tcBorders>
              <w:top w:val="single" w:color="auto" w:sz="4" w:space="0"/>
              <w:left w:val="single" w:color="auto" w:sz="4" w:space="0"/>
              <w:bottom w:val="single" w:color="auto" w:sz="4" w:space="0"/>
              <w:right w:val="single" w:color="auto" w:sz="4" w:space="0"/>
            </w:tcBorders>
            <w:noWrap/>
            <w:vAlign w:val="center"/>
          </w:tcPr>
          <w:p w14:paraId="0231F886">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w:t>
            </w:r>
          </w:p>
          <w:p w14:paraId="2DCABCA2">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作采</w:t>
            </w:r>
          </w:p>
          <w:p w14:paraId="18F0A893">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品编</w:t>
            </w:r>
          </w:p>
          <w:p w14:paraId="34D61660">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简过</w:t>
            </w:r>
          </w:p>
          <w:p w14:paraId="0784DD1D">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介程</w:t>
            </w:r>
          </w:p>
          <w:p w14:paraId="01C72BBC">
            <w:pPr>
              <w:spacing w:line="320" w:lineRule="exact"/>
              <w:jc w:val="center"/>
              <w:rPr>
                <w:rFonts w:ascii="仿宋" w:hAnsi="仿宋" w:eastAsia="仿宋"/>
                <w:color w:val="000000"/>
                <w:sz w:val="24"/>
              </w:rPr>
            </w:pPr>
            <w:r>
              <w:rPr>
                <w:rFonts w:hint="eastAsia" w:ascii="华文中宋" w:hAnsi="华文中宋" w:eastAsia="华文中宋" w:cs="华文中宋"/>
                <w:color w:val="000000"/>
                <w:sz w:val="28"/>
                <w:szCs w:val="28"/>
              </w:rPr>
              <w:t>︶</w:t>
            </w:r>
          </w:p>
        </w:tc>
        <w:tc>
          <w:tcPr>
            <w:tcW w:w="8110" w:type="dxa"/>
            <w:gridSpan w:val="7"/>
            <w:tcBorders>
              <w:top w:val="single" w:color="auto" w:sz="4" w:space="0"/>
              <w:left w:val="single" w:color="auto" w:sz="4" w:space="0"/>
              <w:bottom w:val="single" w:color="auto" w:sz="4" w:space="0"/>
              <w:right w:val="single" w:color="auto" w:sz="4" w:space="0"/>
            </w:tcBorders>
            <w:noWrap/>
            <w:vAlign w:val="center"/>
          </w:tcPr>
          <w:p w14:paraId="57DCE8DA">
            <w:pPr>
              <w:spacing w:line="260" w:lineRule="exact"/>
              <w:ind w:firstLine="420" w:firstLineChars="200"/>
              <w:rPr>
                <w:rFonts w:ascii="仿宋_GB2312" w:eastAsia="仿宋_GB2312" w:cs="仿宋_GB2312"/>
                <w:color w:val="000000"/>
                <w:szCs w:val="21"/>
              </w:rPr>
            </w:pPr>
            <w:r>
              <w:rPr>
                <w:rFonts w:ascii="仿宋_GB2312" w:eastAsia="仿宋_GB2312" w:cs="仿宋_GB2312"/>
                <w:color w:val="000000"/>
                <w:szCs w:val="21"/>
              </w:rPr>
              <w:t>2024年6月16日至7月2日，</w:t>
            </w:r>
            <w:r>
              <w:rPr>
                <w:rFonts w:hint="eastAsia" w:ascii="仿宋_GB2312" w:eastAsia="仿宋_GB2312" w:cs="仿宋_GB2312"/>
                <w:color w:val="000000"/>
                <w:szCs w:val="21"/>
              </w:rPr>
              <w:t>韶山</w:t>
            </w:r>
            <w:r>
              <w:rPr>
                <w:rFonts w:ascii="仿宋_GB2312" w:eastAsia="仿宋_GB2312" w:cs="仿宋_GB2312"/>
                <w:color w:val="000000"/>
                <w:szCs w:val="21"/>
              </w:rPr>
              <w:t>遭遇强降雨侵袭，水位迅猛蹿升，拉响危急警报，地质灾害防治形势异常严峻复杂。</w:t>
            </w:r>
          </w:p>
          <w:p w14:paraId="18A58C9E">
            <w:pPr>
              <w:spacing w:line="260" w:lineRule="exact"/>
              <w:rPr>
                <w:rFonts w:ascii="仿宋_GB2312" w:eastAsia="仿宋_GB2312" w:cs="仿宋_GB2312"/>
                <w:color w:val="000000"/>
                <w:szCs w:val="21"/>
              </w:rPr>
            </w:pPr>
            <w:r>
              <w:rPr>
                <w:rFonts w:ascii="仿宋_GB2312" w:eastAsia="仿宋_GB2312" w:cs="仿宋_GB2312"/>
                <w:color w:val="000000"/>
                <w:szCs w:val="21"/>
              </w:rPr>
              <w:t>汛情就是无声的冲锋号角。本作品聚焦杨林乡云源村，从村干部成功排查地质灾害点并提前转移群众这一细微却关键的视角切入。记者深入灾害核心区域，在细雨绵绵中，不顾道路泥泞湿滑，克服停电困境，自行打光，只为精准记录山体滑坡后的现场景象。在灾害点，记者与当事村干部深入交流，全面还原事情的来龙去脉。</w:t>
            </w:r>
          </w:p>
          <w:p w14:paraId="3A0BFE5F">
            <w:pPr>
              <w:spacing w:line="260" w:lineRule="exact"/>
              <w:rPr>
                <w:rFonts w:ascii="仿宋" w:hAnsi="仿宋" w:eastAsia="仿宋"/>
                <w:color w:val="000000"/>
                <w:sz w:val="24"/>
              </w:rPr>
            </w:pPr>
            <w:r>
              <w:rPr>
                <w:rFonts w:ascii="仿宋_GB2312" w:eastAsia="仿宋_GB2312" w:cs="仿宋_GB2312"/>
                <w:color w:val="000000"/>
                <w:szCs w:val="21"/>
              </w:rPr>
              <w:t>随后，记者赶赴被转移群众安置点，与群众面对面，获取了最真实的一手信息。群众真挚的感谢话语，直击人心，令人动容。这一小小的事件，却成为了一面镜子，映射出韶山广大党员干部众志成城、全力以赴积极防汛度汛的动人图景 ，彰显出面对灾害时的担当与坚守。</w:t>
            </w:r>
          </w:p>
        </w:tc>
      </w:tr>
      <w:tr w14:paraId="0B42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7" w:hRule="atLeast"/>
          <w:jc w:val="center"/>
        </w:trPr>
        <w:tc>
          <w:tcPr>
            <w:tcW w:w="1821" w:type="dxa"/>
            <w:tcBorders>
              <w:top w:val="single" w:color="auto" w:sz="4" w:space="0"/>
              <w:left w:val="single" w:color="auto" w:sz="4" w:space="0"/>
              <w:bottom w:val="single" w:color="auto" w:sz="4" w:space="0"/>
              <w:right w:val="single" w:color="auto" w:sz="4" w:space="0"/>
            </w:tcBorders>
            <w:noWrap/>
            <w:vAlign w:val="center"/>
          </w:tcPr>
          <w:p w14:paraId="664218DC">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社</w:t>
            </w:r>
          </w:p>
          <w:p w14:paraId="43C557FE">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会</w:t>
            </w:r>
          </w:p>
          <w:p w14:paraId="04C201F4">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效</w:t>
            </w:r>
          </w:p>
          <w:p w14:paraId="095DECDB">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果</w:t>
            </w:r>
          </w:p>
        </w:tc>
        <w:tc>
          <w:tcPr>
            <w:tcW w:w="8110" w:type="dxa"/>
            <w:gridSpan w:val="7"/>
            <w:tcBorders>
              <w:top w:val="single" w:color="auto" w:sz="4" w:space="0"/>
              <w:left w:val="single" w:color="auto" w:sz="4" w:space="0"/>
              <w:bottom w:val="single" w:color="auto" w:sz="4" w:space="0"/>
              <w:right w:val="single" w:color="auto" w:sz="4" w:space="0"/>
            </w:tcBorders>
            <w:noWrap/>
            <w:vAlign w:val="center"/>
          </w:tcPr>
          <w:p w14:paraId="1E6B11C8">
            <w:pPr>
              <w:spacing w:line="260" w:lineRule="exact"/>
              <w:ind w:firstLine="420" w:firstLineChars="200"/>
              <w:rPr>
                <w:rFonts w:ascii="仿宋_GB2312" w:eastAsia="仿宋_GB2312" w:cs="仿宋_GB2312"/>
                <w:color w:val="000000"/>
                <w:szCs w:val="21"/>
              </w:rPr>
            </w:pPr>
            <w:r>
              <w:rPr>
                <w:rFonts w:ascii="仿宋_GB2312" w:eastAsia="仿宋_GB2312" w:cs="仿宋_GB2312"/>
                <w:color w:val="000000"/>
                <w:szCs w:val="21"/>
              </w:rPr>
              <w:t>该条视频一经发布，迅速吸引大量关注，点击量一路攀升，收获极高人气。随后被湘潭广电视频号转载，进一步扩大了传播范围。</w:t>
            </w:r>
          </w:p>
          <w:p w14:paraId="554856F8">
            <w:pPr>
              <w:spacing w:line="260" w:lineRule="exact"/>
              <w:ind w:firstLine="420" w:firstLineChars="200"/>
              <w:rPr>
                <w:rFonts w:ascii="仿宋_GB2312" w:eastAsia="仿宋_GB2312" w:cs="仿宋_GB2312"/>
                <w:color w:val="000000"/>
                <w:szCs w:val="21"/>
              </w:rPr>
            </w:pPr>
            <w:r>
              <w:rPr>
                <w:rFonts w:ascii="仿宋_GB2312" w:eastAsia="仿宋_GB2312" w:cs="仿宋_GB2312"/>
                <w:color w:val="000000"/>
                <w:szCs w:val="21"/>
              </w:rPr>
              <w:t>视频凭借“及时、真实、现场”的特性，实现了极佳的新闻宣传效果。它在第一时间将防汛一线的真实情况呈现给大众，让公众得以直观了解灾害现状与党员干部的奋战场景，有效增强了信息透明度，缓解了公众焦虑情绪。</w:t>
            </w:r>
          </w:p>
          <w:p w14:paraId="29E5E6E8">
            <w:pPr>
              <w:spacing w:line="260" w:lineRule="exact"/>
              <w:ind w:firstLine="420" w:firstLineChars="200"/>
              <w:rPr>
                <w:rFonts w:ascii="仿宋" w:hAnsi="仿宋" w:eastAsia="仿宋"/>
                <w:color w:val="000000"/>
                <w:sz w:val="24"/>
              </w:rPr>
            </w:pPr>
            <w:r>
              <w:rPr>
                <w:rFonts w:ascii="仿宋_GB2312" w:eastAsia="仿宋_GB2312" w:cs="仿宋_GB2312"/>
                <w:color w:val="000000"/>
                <w:szCs w:val="21"/>
              </w:rPr>
              <w:t>视频不仅展现了韶山广大党员干部在防汛工作中的不懈努力与卓越成效，也营造出积极向上、众志成城的良好社会氛围，激发了社会各界对防汛救灾工作的关注与支持。其传播影响力为韶山在此次防汛工作中获得省政府通报表扬提供了有力舆论支持，彰显出新闻宣传在凝聚力量、推动工作方面的重要价值 。</w:t>
            </w:r>
          </w:p>
        </w:tc>
      </w:tr>
      <w:tr w14:paraId="40D7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0" w:hRule="atLeast"/>
          <w:jc w:val="center"/>
        </w:trPr>
        <w:tc>
          <w:tcPr>
            <w:tcW w:w="1821" w:type="dxa"/>
            <w:tcBorders>
              <w:top w:val="single" w:color="auto" w:sz="4" w:space="0"/>
              <w:left w:val="single" w:color="auto" w:sz="4" w:space="0"/>
              <w:bottom w:val="single" w:color="auto" w:sz="4" w:space="0"/>
              <w:right w:val="single" w:color="auto" w:sz="4" w:space="0"/>
            </w:tcBorders>
            <w:noWrap/>
            <w:vAlign w:val="center"/>
          </w:tcPr>
          <w:p w14:paraId="570DBB9F">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p w14:paraId="6CD32522">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初推</w:t>
            </w:r>
          </w:p>
          <w:p w14:paraId="3310FD0B">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评荐</w:t>
            </w:r>
          </w:p>
          <w:p w14:paraId="5223BE02">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评理</w:t>
            </w:r>
          </w:p>
          <w:p w14:paraId="4FD58117">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语由</w:t>
            </w:r>
          </w:p>
          <w:p w14:paraId="0241D4CC">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tc>
        <w:tc>
          <w:tcPr>
            <w:tcW w:w="8110" w:type="dxa"/>
            <w:gridSpan w:val="7"/>
            <w:tcBorders>
              <w:top w:val="single" w:color="auto" w:sz="4" w:space="0"/>
              <w:left w:val="single" w:color="auto" w:sz="4" w:space="0"/>
              <w:bottom w:val="single" w:color="auto" w:sz="4" w:space="0"/>
              <w:right w:val="single" w:color="auto" w:sz="4" w:space="0"/>
            </w:tcBorders>
            <w:noWrap/>
            <w:vAlign w:val="center"/>
          </w:tcPr>
          <w:p w14:paraId="4836F8F9">
            <w:pPr>
              <w:ind w:firstLine="420"/>
            </w:pPr>
            <w:r>
              <w:rPr>
                <w:rFonts w:hint="eastAsia" w:ascii="仿宋_GB2312" w:eastAsia="仿宋_GB2312" w:cs="仿宋_GB2312"/>
                <w:color w:val="000000"/>
                <w:szCs w:val="21"/>
              </w:rPr>
              <w:t>此篇新媒体消息采访深入、现场感强、内容真实、发布及时，消息虽短，但彰显了基层党员干部的为民情怀、人民群众对党和政府的信赖。在抗洪抢险、地质灾害防御时期及时发布，新闻价值凸显，宣传效果极佳。同意推荐。</w:t>
            </w:r>
          </w:p>
          <w:p w14:paraId="761FC91D">
            <w:pPr>
              <w:spacing w:line="320" w:lineRule="exact"/>
              <w:ind w:left="3360" w:leftChars="1600"/>
              <w:jc w:val="center"/>
              <w:rPr>
                <w:rFonts w:ascii="华文中宋" w:hAnsi="华文中宋" w:eastAsia="华文中宋" w:cs="华文中宋"/>
                <w:color w:val="000000"/>
                <w:sz w:val="24"/>
              </w:rPr>
            </w:pPr>
          </w:p>
          <w:p w14:paraId="716FD31E">
            <w:pPr>
              <w:spacing w:line="320" w:lineRule="exact"/>
              <w:ind w:left="3360" w:leftChars="1600"/>
              <w:jc w:val="center"/>
              <w:rPr>
                <w:rFonts w:hint="eastAsia" w:ascii="华文中宋" w:hAnsi="华文中宋" w:eastAsia="华文中宋" w:cs="华文中宋"/>
                <w:color w:val="000000"/>
                <w:sz w:val="24"/>
              </w:rPr>
            </w:pPr>
            <w:r>
              <w:rPr>
                <w:rFonts w:hint="eastAsia" w:ascii="华文中宋" w:hAnsi="华文中宋" w:eastAsia="华文中宋" w:cs="华文中宋"/>
                <w:color w:val="000000"/>
                <w:sz w:val="24"/>
              </w:rPr>
              <w:t>签名：（盖单位公章）</w:t>
            </w:r>
          </w:p>
          <w:p w14:paraId="34B7A546">
            <w:pPr>
              <w:spacing w:line="320" w:lineRule="exact"/>
              <w:ind w:left="3360" w:leftChars="1600"/>
              <w:jc w:val="center"/>
              <w:rPr>
                <w:rFonts w:ascii="仿宋" w:hAnsi="仿宋" w:eastAsia="仿宋"/>
                <w:color w:val="000000"/>
                <w:sz w:val="24"/>
              </w:rPr>
            </w:pPr>
            <w:r>
              <w:rPr>
                <w:rFonts w:hint="eastAsia" w:ascii="华文中宋" w:hAnsi="华文中宋" w:eastAsia="华文中宋"/>
                <w:color w:val="000000"/>
                <w:sz w:val="24"/>
              </w:rPr>
              <w:t>20</w:t>
            </w:r>
            <w:r>
              <w:rPr>
                <w:rFonts w:hint="eastAsia" w:ascii="华文中宋" w:hAnsi="华文中宋" w:eastAsia="华文中宋" w:cs="华文中宋"/>
                <w:color w:val="000000"/>
                <w:sz w:val="24"/>
              </w:rPr>
              <w:t>25年</w:t>
            </w:r>
            <w:r>
              <w:rPr>
                <w:rFonts w:hint="eastAsia" w:ascii="华文中宋" w:hAnsi="华文中宋" w:eastAsia="华文中宋"/>
                <w:color w:val="000000"/>
                <w:sz w:val="24"/>
              </w:rPr>
              <w:t>2</w:t>
            </w:r>
            <w:r>
              <w:rPr>
                <w:rFonts w:hint="eastAsia" w:ascii="华文中宋" w:hAnsi="华文中宋" w:eastAsia="华文中宋" w:cs="华文中宋"/>
                <w:color w:val="000000"/>
                <w:sz w:val="24"/>
              </w:rPr>
              <w:t>月</w:t>
            </w:r>
            <w:r>
              <w:rPr>
                <w:rFonts w:hint="eastAsia" w:ascii="华文中宋" w:hAnsi="华文中宋" w:eastAsia="华文中宋"/>
                <w:color w:val="000000"/>
                <w:sz w:val="24"/>
              </w:rPr>
              <w:t>20</w:t>
            </w:r>
            <w:r>
              <w:rPr>
                <w:rFonts w:hint="eastAsia" w:ascii="华文中宋" w:hAnsi="华文中宋" w:eastAsia="华文中宋" w:cs="华文中宋"/>
                <w:color w:val="000000"/>
                <w:sz w:val="24"/>
              </w:rPr>
              <w:t>日</w:t>
            </w:r>
          </w:p>
        </w:tc>
      </w:tr>
      <w:tr w14:paraId="3D2E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6" w:hRule="atLeast"/>
          <w:jc w:val="center"/>
        </w:trPr>
        <w:tc>
          <w:tcPr>
            <w:tcW w:w="1821" w:type="dxa"/>
            <w:tcBorders>
              <w:top w:val="single" w:color="auto" w:sz="4" w:space="0"/>
              <w:left w:val="single" w:color="auto" w:sz="4" w:space="0"/>
              <w:bottom w:val="single" w:color="auto" w:sz="4" w:space="0"/>
              <w:right w:val="single" w:color="auto" w:sz="4" w:space="0"/>
            </w:tcBorders>
            <w:noWrap/>
            <w:vAlign w:val="center"/>
          </w:tcPr>
          <w:p w14:paraId="5B57DAB4">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联系人</w:t>
            </w:r>
          </w:p>
          <w:p w14:paraId="4600679C">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（作者）</w:t>
            </w:r>
          </w:p>
        </w:tc>
        <w:tc>
          <w:tcPr>
            <w:tcW w:w="2586" w:type="dxa"/>
            <w:gridSpan w:val="3"/>
            <w:tcBorders>
              <w:top w:val="single" w:color="auto" w:sz="4" w:space="0"/>
              <w:left w:val="single" w:color="auto" w:sz="4" w:space="0"/>
              <w:bottom w:val="single" w:color="auto" w:sz="4" w:space="0"/>
              <w:right w:val="single" w:color="auto" w:sz="4" w:space="0"/>
            </w:tcBorders>
            <w:noWrap/>
            <w:vAlign w:val="center"/>
          </w:tcPr>
          <w:p w14:paraId="1B495138">
            <w:pPr>
              <w:spacing w:line="320" w:lineRule="exact"/>
              <w:ind w:firstLine="560"/>
              <w:jc w:val="center"/>
              <w:rPr>
                <w:rFonts w:ascii="华文中宋" w:hAnsi="华文中宋" w:eastAsia="华文中宋"/>
                <w:color w:val="000000"/>
                <w:sz w:val="28"/>
                <w:szCs w:val="28"/>
              </w:rPr>
            </w:pPr>
            <w:r>
              <w:rPr>
                <w:rFonts w:hint="eastAsia" w:ascii="仿宋_GB2312" w:hAnsi="仿宋" w:eastAsia="仿宋_GB2312" w:cs="仿宋_GB2312"/>
                <w:color w:val="000000"/>
                <w:szCs w:val="21"/>
              </w:rPr>
              <w:t>杨扬</w:t>
            </w:r>
          </w:p>
        </w:tc>
        <w:tc>
          <w:tcPr>
            <w:tcW w:w="1137" w:type="dxa"/>
            <w:gridSpan w:val="2"/>
            <w:tcBorders>
              <w:top w:val="single" w:color="auto" w:sz="4" w:space="0"/>
              <w:left w:val="single" w:color="auto" w:sz="4" w:space="0"/>
              <w:bottom w:val="single" w:color="auto" w:sz="4" w:space="0"/>
              <w:right w:val="single" w:color="auto" w:sz="4" w:space="0"/>
            </w:tcBorders>
            <w:noWrap/>
            <w:vAlign w:val="center"/>
          </w:tcPr>
          <w:p w14:paraId="6887ED65">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手机</w:t>
            </w:r>
          </w:p>
        </w:tc>
        <w:tc>
          <w:tcPr>
            <w:tcW w:w="4387" w:type="dxa"/>
            <w:gridSpan w:val="2"/>
            <w:tcBorders>
              <w:top w:val="single" w:color="auto" w:sz="4" w:space="0"/>
              <w:left w:val="single" w:color="auto" w:sz="4" w:space="0"/>
              <w:bottom w:val="single" w:color="auto" w:sz="4" w:space="0"/>
              <w:right w:val="single" w:color="auto" w:sz="4" w:space="0"/>
            </w:tcBorders>
            <w:noWrap/>
            <w:vAlign w:val="center"/>
          </w:tcPr>
          <w:p w14:paraId="4DD34120">
            <w:pPr>
              <w:spacing w:line="320" w:lineRule="exact"/>
              <w:ind w:firstLine="560"/>
              <w:jc w:val="center"/>
              <w:rPr>
                <w:rFonts w:ascii="华文中宋" w:hAnsi="华文中宋" w:eastAsia="华文中宋"/>
                <w:color w:val="000000"/>
                <w:sz w:val="28"/>
                <w:szCs w:val="28"/>
              </w:rPr>
            </w:pPr>
            <w:r>
              <w:rPr>
                <w:rFonts w:hint="eastAsia" w:ascii="仿宋_GB2312" w:eastAsia="仿宋_GB2312" w:cs="仿宋_GB2312"/>
                <w:color w:val="000000"/>
                <w:szCs w:val="21"/>
              </w:rPr>
              <w:t>15876905001</w:t>
            </w:r>
          </w:p>
        </w:tc>
      </w:tr>
    </w:tbl>
    <w:p w14:paraId="6F79C557"/>
    <w:p w14:paraId="2A965EB9"/>
    <w:p w14:paraId="0FE18C76">
      <w:pPr>
        <w:rPr>
          <w:rFonts w:hint="eastAsia" w:eastAsia="宋体"/>
          <w:lang w:eastAsia="zh-CN"/>
        </w:rPr>
      </w:pPr>
      <w:r>
        <w:rPr>
          <w:rFonts w:hint="eastAsia" w:eastAsia="宋体"/>
          <w:lang w:eastAsia="zh-CN"/>
        </w:rPr>
        <w:drawing>
          <wp:inline distT="0" distB="0" distL="114300" distR="114300">
            <wp:extent cx="5248275" cy="6187440"/>
            <wp:effectExtent l="0" t="0" r="9525" b="0"/>
            <wp:docPr id="1" name="图片 1" descr="c0c73b5eefea06f6bbca274fe785d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0c73b5eefea06f6bbca274fe785dd3"/>
                    <pic:cNvPicPr>
                      <a:picLocks noChangeAspect="1"/>
                    </pic:cNvPicPr>
                  </pic:nvPicPr>
                  <pic:blipFill>
                    <a:blip r:embed="rId4"/>
                    <a:stretch>
                      <a:fillRect/>
                    </a:stretch>
                  </pic:blipFill>
                  <pic:spPr>
                    <a:xfrm>
                      <a:off x="0" y="0"/>
                      <a:ext cx="5248275" cy="6187440"/>
                    </a:xfrm>
                    <a:prstGeom prst="rect">
                      <a:avLst/>
                    </a:prstGeom>
                  </pic:spPr>
                </pic:pic>
              </a:graphicData>
            </a:graphic>
          </wp:inline>
        </w:drawing>
      </w:r>
    </w:p>
    <w:sectPr>
      <w:pgSz w:w="11906" w:h="16838"/>
      <w:pgMar w:top="1440" w:right="1800" w:bottom="77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EE01B78"/>
    <w:rsid w:val="0005063D"/>
    <w:rsid w:val="001A4B0B"/>
    <w:rsid w:val="00296CA2"/>
    <w:rsid w:val="005D0163"/>
    <w:rsid w:val="00945ABA"/>
    <w:rsid w:val="00CD2F69"/>
    <w:rsid w:val="00ED0929"/>
    <w:rsid w:val="04150BA0"/>
    <w:rsid w:val="04B41AAA"/>
    <w:rsid w:val="1CD221A8"/>
    <w:rsid w:val="25856A59"/>
    <w:rsid w:val="44D13CBA"/>
    <w:rsid w:val="4EE01B78"/>
    <w:rsid w:val="5AFB1A56"/>
    <w:rsid w:val="7A445DDD"/>
    <w:rsid w:val="7E4F4E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eastAsia="宋体" w:cs="Times New Roman"/>
      <w:kern w:val="2"/>
      <w:sz w:val="18"/>
      <w:szCs w:val="18"/>
    </w:rPr>
  </w:style>
  <w:style w:type="character" w:customStyle="1" w:styleId="7">
    <w:name w:val="页脚 Char"/>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912</Words>
  <Characters>1014</Characters>
  <Lines>7</Lines>
  <Paragraphs>2</Paragraphs>
  <TotalTime>1</TotalTime>
  <ScaleCrop>false</ScaleCrop>
  <LinksUpToDate>false</LinksUpToDate>
  <CharactersWithSpaces>1027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2025-02-18T01:19:00Z</dcterms:created>
  <dc:creator>杨扬</dc:creator>
  <cp:lastModifiedBy>绿色的草地</cp:lastModifiedBy>
  <dcterms:modified xsi:type="dcterms:W3CDTF">2025-02-21T07:27:36Z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98C4692B86FD4AF6B9825407780D7ED3_13</vt:lpwstr>
  </property>
  <property fmtid="{D5CDD505-2E9C-101B-9397-08002B2CF9AE}" pid="4" name="KSOTemplateDocerSaveRecord">
    <vt:lpwstr>eyJoZGlkIjoiMWM1OTMwMmMwZmNhNDc3NmExM2U2OTdmNmNjNDJhNmQiLCJ1c2VySWQiOiI0NDg3ODk5MzUifQ==</vt:lpwstr>
  </property>
</Properties>
</file>